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15                                </w:t>
      </w:r>
      <w:bookmarkStart w:id="3" w:name="_GoBack"/>
      <w:bookmarkEnd w:id="3"/>
      <w:r>
        <w:rPr>
          <w:rFonts w:hint="eastAsia" w:ascii="Arial" w:hAnsi="Arial" w:cs="Arial"/>
          <w:b/>
          <w:sz w:val="24"/>
          <w:szCs w:val="24"/>
          <w:lang w:val="en-US" w:eastAsia="zh-CN"/>
        </w:rPr>
        <w:t>R4-2506948</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color w:val="auto"/>
          <w:sz w:val="24"/>
          <w:szCs w:val="24"/>
          <w:lang w:eastAsia="zh-CN"/>
        </w:rPr>
        <w:t>Malta, MT, 19th – 23rd May,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7.17.3</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etc. </w:t>
      </w:r>
    </w:p>
    <w:p>
      <w:pPr>
        <w:spacing w:before="120" w:after="120"/>
        <w:rPr>
          <w:rFonts w:hint="default"/>
          <w:lang w:val="en-US" w:eastAsia="zh-CN"/>
        </w:rPr>
      </w:pPr>
      <w:r>
        <w:rPr>
          <w:rFonts w:hint="eastAsia"/>
          <w:lang w:val="en-US" w:eastAsia="zh-CN"/>
        </w:rPr>
        <w:t>The SNR corresponding to 70% maximum throughput is shown in Table 2-2.</w:t>
      </w:r>
    </w:p>
    <w:p>
      <w:pPr>
        <w:spacing w:before="120" w:after="120"/>
        <w:rPr>
          <w:rFonts w:hint="eastAsia"/>
          <w:lang w:val="en-US" w:eastAsia="zh-CN"/>
        </w:rPr>
      </w:pPr>
    </w:p>
    <w:p>
      <w:pPr>
        <w:spacing w:before="120" w:after="120"/>
        <w:outlineLvl w:val="1"/>
        <w:rPr>
          <w:rFonts w:hint="default"/>
          <w:lang w:val="en-US" w:eastAsia="zh-CN"/>
        </w:rPr>
      </w:pPr>
      <w:r>
        <w:rPr>
          <w:rFonts w:hint="eastAsia"/>
          <w:b/>
          <w:bCs/>
          <w:sz w:val="24"/>
          <w:szCs w:val="24"/>
          <w:lang w:val="en-US" w:eastAsia="zh-CN"/>
        </w:rPr>
        <w:t>Inter cell interference cancellation</w:t>
      </w:r>
      <w:r>
        <w:rPr>
          <w:rFonts w:hint="eastAsia"/>
          <w:lang w:val="en-US" w:eastAsia="zh-CN"/>
        </w:rPr>
        <w:t xml:space="preserve"> </w:t>
      </w: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none"/>
                <w:vertAlign w:val="superscript"/>
                <w:lang w:val="en-GB" w:eastAsia="en-US" w:bidi="ar-SA"/>
              </w:rPr>
            </w:pPr>
            <w:r>
              <w:rPr>
                <w:rFonts w:hint="eastAsia" w:ascii="Arial" w:hAnsi="Arial" w:eastAsia="宋体" w:cs="Times New Roman"/>
                <w:sz w:val="18"/>
                <w:szCs w:val="20"/>
                <w:highlight w:val="none"/>
                <w:lang w:val="en-GB" w:eastAsia="en-US" w:bidi="ar-SA"/>
              </w:rPr>
              <w:t>I</w:t>
            </w:r>
            <w:r>
              <w:rPr>
                <w:rFonts w:hint="default" w:ascii="Arial" w:hAnsi="Arial" w:eastAsia="宋体" w:cs="Times New Roman"/>
                <w:sz w:val="18"/>
                <w:szCs w:val="20"/>
                <w:highlight w:val="none"/>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eastAsia" w:ascii="Arial" w:hAnsi="Arial" w:eastAsia="宋体" w:cs="Times New Roman"/>
                <w:sz w:val="18"/>
                <w:szCs w:val="20"/>
                <w:highlight w:val="none"/>
                <w:lang w:val="en-GB" w:eastAsia="en-US" w:bidi="ar-SA"/>
              </w:rPr>
              <w:t>N</w:t>
            </w:r>
            <w:r>
              <w:rPr>
                <w:rFonts w:hint="default" w:ascii="Arial" w:hAnsi="Arial" w:eastAsia="宋体" w:cs="Times New Roman"/>
                <w:sz w:val="18"/>
                <w:szCs w:val="20"/>
                <w:highlight w:val="none"/>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 xml:space="preserve">7.77 </w:t>
            </w:r>
            <w:r>
              <w:rPr>
                <w:rFonts w:hint="default" w:ascii="Arial" w:hAnsi="Arial" w:eastAsia="宋体" w:cs="Arial"/>
                <w:sz w:val="18"/>
                <w:szCs w:val="18"/>
                <w:highlight w:val="none"/>
                <w:lang w:val="en-GB" w:eastAsia="en-US" w:bidi="ar-SA"/>
              </w:rPr>
              <w:t xml:space="preserve">for </w:t>
            </w:r>
            <w:r>
              <w:rPr>
                <w:rFonts w:hint="eastAsia" w:ascii="Arial" w:hAnsi="Arial" w:eastAsia="宋体" w:cs="Arial"/>
                <w:sz w:val="18"/>
                <w:szCs w:val="18"/>
                <w:highlight w:val="none"/>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US" w:eastAsia="zh-CN" w:bidi="ar-SA"/>
              </w:rPr>
            </w:pPr>
            <w:r>
              <w:rPr>
                <w:rFonts w:hint="default" w:ascii="Arial" w:hAnsi="Arial" w:eastAsia="宋体" w:cs="Times New Roman"/>
                <w:sz w:val="18"/>
                <w:szCs w:val="20"/>
                <w:highlight w:val="none"/>
                <w:lang w:val="en-GB" w:eastAsia="en-US" w:bidi="ar-SA"/>
              </w:rPr>
              <w:t>7.58</w:t>
            </w:r>
            <w:r>
              <w:rPr>
                <w:rFonts w:hint="eastAsia" w:ascii="Arial" w:hAnsi="Arial" w:eastAsia="宋体" w:cs="Times New Roman"/>
                <w:sz w:val="18"/>
                <w:szCs w:val="20"/>
                <w:highlight w:val="none"/>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 xml:space="preserve">2.29 </w:t>
            </w:r>
            <w:r>
              <w:rPr>
                <w:rFonts w:hint="default" w:ascii="Arial" w:hAnsi="Arial" w:eastAsia="宋体" w:cs="Arial"/>
                <w:sz w:val="18"/>
                <w:szCs w:val="18"/>
                <w:highlight w:val="none"/>
                <w:lang w:val="en-GB" w:eastAsia="en-US" w:bidi="ar-SA"/>
              </w:rPr>
              <w:t xml:space="preserve">for </w:t>
            </w:r>
            <w:r>
              <w:rPr>
                <w:rFonts w:hint="eastAsia" w:ascii="Arial" w:hAnsi="Arial" w:eastAsia="宋体" w:cs="Arial"/>
                <w:sz w:val="18"/>
                <w:szCs w:val="18"/>
                <w:highlight w:val="none"/>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 xml:space="preserve">-2. </w:t>
      </w:r>
      <w:r>
        <w:rPr>
          <w:rFonts w:hint="default" w:ascii="Times New Roman" w:hAnsi="Times New Roman" w:eastAsia="宋体" w:cs="Times New Roman"/>
          <w:b/>
          <w:kern w:val="2"/>
          <w:sz w:val="21"/>
          <w:lang w:val="en-US" w:eastAsia="zh-CN" w:bidi="ar-SA"/>
        </w:rPr>
        <w:t>SNR corresponding to 70% maximum throughput</w:t>
      </w:r>
      <w:r>
        <w:rPr>
          <w:rFonts w:hint="eastAsia" w:cs="Times New Roman"/>
          <w:b/>
          <w:kern w:val="2"/>
          <w:sz w:val="21"/>
          <w:lang w:val="en-US" w:eastAsia="zh-CN" w:bidi="ar-SA"/>
        </w:rPr>
        <w:t xml:space="preserve"> with baseline receiver and simplified receiver for inter cell interference cancellation scenario</w:t>
      </w:r>
    </w:p>
    <w:tbl>
      <w:tblPr>
        <w:tblStyle w:val="22"/>
        <w:tblpPr w:leftFromText="180" w:rightFromText="180" w:vertAnchor="text" w:horzAnchor="page" w:tblpX="680" w:tblpY="455"/>
        <w:tblOverlap w:val="never"/>
        <w:tblW w:w="110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993"/>
        <w:gridCol w:w="777"/>
        <w:gridCol w:w="722"/>
        <w:gridCol w:w="903"/>
        <w:gridCol w:w="735"/>
        <w:gridCol w:w="762"/>
        <w:gridCol w:w="762"/>
        <w:gridCol w:w="600"/>
        <w:gridCol w:w="600"/>
        <w:gridCol w:w="869"/>
        <w:gridCol w:w="1087"/>
        <w:gridCol w:w="872"/>
        <w:gridCol w:w="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0" w:hRule="atLeast"/>
        </w:trPr>
        <w:tc>
          <w:tcPr>
            <w:tcW w:w="5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TC#</w:t>
            </w:r>
          </w:p>
        </w:tc>
        <w:tc>
          <w:tcPr>
            <w:tcW w:w="99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77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7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90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Scenario</w:t>
            </w:r>
          </w:p>
        </w:tc>
        <w:tc>
          <w:tcPr>
            <w:tcW w:w="73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(target UE)</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INR1</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INR2</w:t>
            </w:r>
          </w:p>
        </w:tc>
        <w:tc>
          <w:tcPr>
            <w:tcW w:w="869"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108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7.3</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8.4</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5</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8.1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6</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11.5</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spacing w:before="120" w:after="120"/>
        <w:outlineLvl w:val="1"/>
        <w:rPr>
          <w:rFonts w:hint="default" w:ascii="Times New Roman" w:hAnsi="Times New Roman" w:cs="Times New Roman"/>
          <w:b/>
          <w:kern w:val="2"/>
          <w:sz w:val="21"/>
          <w:lang w:val="en-US" w:eastAsia="zh-CN" w:bidi="ar-SA"/>
        </w:rPr>
      </w:pPr>
      <w:r>
        <w:rPr>
          <w:rFonts w:hint="eastAsia"/>
          <w:b/>
          <w:bCs/>
          <w:sz w:val="24"/>
          <w:szCs w:val="24"/>
          <w:lang w:val="en-US" w:eastAsia="zh-CN"/>
        </w:rPr>
        <w:t>Intra cell interference cancellation</w:t>
      </w:r>
      <w:r>
        <w:rPr>
          <w:rFonts w:hint="eastAsia"/>
          <w:lang w:val="en-US" w:eastAsia="zh-CN"/>
        </w:rPr>
        <w:t xml:space="preserve"> </w:t>
      </w:r>
    </w:p>
    <w:p>
      <w:pPr>
        <w:spacing w:before="120" w:after="120"/>
        <w:jc w:val="left"/>
        <w:rPr>
          <w:rFonts w:hint="eastAsia"/>
          <w:lang w:val="en-US" w:eastAsia="zh-CN"/>
        </w:rPr>
      </w:pPr>
      <w:r>
        <w:rPr>
          <w:rFonts w:hint="eastAsia"/>
          <w:lang w:val="en-US" w:eastAsia="zh-CN"/>
        </w:rPr>
        <w:t xml:space="preserve">We evaluated intra cell scenarios with different MCS, propagation conditions and different Rank, etc. </w:t>
      </w:r>
    </w:p>
    <w:p>
      <w:pPr>
        <w:spacing w:before="120" w:after="120"/>
        <w:jc w:val="left"/>
        <w:rPr>
          <w:rFonts w:hint="default"/>
          <w:lang w:val="en-US" w:eastAsia="zh-CN"/>
        </w:rPr>
      </w:pPr>
      <w:r>
        <w:rPr>
          <w:rFonts w:hint="eastAsia"/>
          <w:lang w:val="en-US" w:eastAsia="zh-CN"/>
        </w:rPr>
        <w:t>The SNR corresponding to 70% maximum throughput is shown in Table 2-3.</w:t>
      </w:r>
    </w:p>
    <w:p>
      <w:pPr>
        <w:widowControl w:val="0"/>
        <w:spacing w:beforeLines="100" w:afterLines="0" w:line="240" w:lineRule="auto"/>
        <w:jc w:val="center"/>
        <w:rPr>
          <w:rFonts w:hint="eastAsia"/>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3.</w:t>
      </w:r>
      <w:r>
        <w:rPr>
          <w:rFonts w:hint="default" w:ascii="Times New Roman" w:hAnsi="Times New Roman" w:eastAsia="宋体" w:cs="Times New Roman"/>
          <w:b/>
          <w:kern w:val="2"/>
          <w:sz w:val="21"/>
          <w:lang w:val="en-US" w:eastAsia="zh-CN" w:bidi="ar-SA"/>
        </w:rPr>
        <w:t xml:space="preserve"> SNR corresponding to 70% maximum throughput</w:t>
      </w:r>
      <w:r>
        <w:rPr>
          <w:rFonts w:hint="eastAsia" w:cs="Times New Roman"/>
          <w:b/>
          <w:kern w:val="2"/>
          <w:sz w:val="21"/>
          <w:lang w:val="en-US" w:eastAsia="zh-CN" w:bidi="ar-SA"/>
        </w:rPr>
        <w:t xml:space="preserve"> with baseline receiver and simplified receiver for MU-MIMO scenario</w:t>
      </w:r>
    </w:p>
    <w:tbl>
      <w:tblPr>
        <w:tblStyle w:val="22"/>
        <w:tblW w:w="98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0"/>
        <w:gridCol w:w="1060"/>
        <w:gridCol w:w="655"/>
        <w:gridCol w:w="610"/>
        <w:gridCol w:w="621"/>
        <w:gridCol w:w="594"/>
        <w:gridCol w:w="643"/>
        <w:gridCol w:w="925"/>
        <w:gridCol w:w="894"/>
        <w:gridCol w:w="773"/>
        <w:gridCol w:w="971"/>
        <w:gridCol w:w="737"/>
        <w:gridCol w:w="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2" w:hRule="atLeast"/>
        </w:trPr>
        <w:tc>
          <w:tcPr>
            <w:tcW w:w="73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 xml:space="preserve">TC Number </w:t>
            </w:r>
          </w:p>
        </w:tc>
        <w:tc>
          <w:tcPr>
            <w:tcW w:w="106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65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6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62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5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for target + Co-UE</w:t>
            </w:r>
          </w:p>
        </w:tc>
        <w:tc>
          <w:tcPr>
            <w:tcW w:w="64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92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Precoder selection</w:t>
            </w:r>
          </w:p>
        </w:tc>
        <w:tc>
          <w:tcPr>
            <w:tcW w:w="8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77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97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Modulation order for the co-scheduled UE</w:t>
            </w:r>
          </w:p>
        </w:tc>
        <w:tc>
          <w:tcPr>
            <w:tcW w:w="73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6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9.7</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2"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2</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10.2</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4</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spacing w:before="120" w:after="120"/>
        <w:rPr>
          <w:rFonts w:hint="eastAsia"/>
          <w:lang w:val="en-US" w:eastAsia="zh-CN"/>
        </w:rPr>
      </w:pPr>
    </w:p>
    <w:p>
      <w:pPr>
        <w:spacing w:before="120" w:after="120"/>
        <w:rPr>
          <w:rFonts w:hint="default"/>
          <w:lang w:val="en-US" w:eastAsia="zh-CN"/>
        </w:rPr>
      </w:pPr>
    </w:p>
    <w:p>
      <w:pPr>
        <w:spacing w:before="120" w:after="120"/>
        <w:rPr>
          <w:rFonts w:hint="default"/>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w:t>
      </w:r>
      <w:r>
        <w:rPr>
          <w:rFonts w:hint="eastAsia"/>
          <w:bCs/>
          <w:kern w:val="0"/>
          <w:szCs w:val="21"/>
          <w:lang w:val="en-US" w:eastAsia="zh-CN"/>
        </w:rPr>
        <w:t>provided the simulation results for UE demodulation performance requirements for 8Rx with MMSE-IRC, which including inter cell interference cancellation and intra cell interference cancellation.</w:t>
      </w:r>
    </w:p>
    <w:p>
      <w:pPr>
        <w:widowControl w:val="0"/>
        <w:numPr>
          <w:ilvl w:val="255"/>
          <w:numId w:val="0"/>
        </w:numPr>
        <w:spacing w:beforeLines="0" w:afterLines="0" w:line="240" w:lineRule="auto"/>
        <w:rPr>
          <w:rFonts w:hint="eastAsia"/>
          <w:bCs/>
          <w:kern w:val="0"/>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8"/>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